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61dc0bfe703b0653ad1a8267335f1bfa684cc"/>
    <w:p>
      <w:pPr>
        <w:pStyle w:val="Heading3"/>
      </w:pPr>
      <w:r>
        <w:t xml:space="preserve">Заседание постоянно действующей рабочей группы района Измайлово города Москвы (Протокол № 2)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rPr>
          <w:bCs/>
          <w:b/>
        </w:rPr>
        <w:t xml:space="preserve">Заседание</w:t>
      </w:r>
    </w:p>
    <w:p>
      <w:pPr>
        <w:pStyle w:val="BodyText"/>
      </w:pPr>
      <w:r>
        <w:rPr>
          <w:bCs/>
          <w:b/>
        </w:rPr>
        <w:t xml:space="preserve">постоянно действующей рабочей группы района Измайлово города Москвы (Протокол № 2)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28 апреля 2021 г.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Экз. № 1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Рассматриваемые вопросы</w:t>
      </w:r>
    </w:p>
    <w:p>
      <w:pPr>
        <w:pStyle w:val="BodyText"/>
      </w:pPr>
      <w:r>
        <w:rPr>
          <w:bCs/>
          <w:b/>
        </w:rPr>
        <w:t xml:space="preserve">I. О мерах по обеспечению безопасности, общественного порядка и противодействия возможным террористическим актам в период подготовки и проведения Первомайских праздников 1 и 9 мая 2021 года</w:t>
      </w:r>
    </w:p>
    <w:p>
      <w:pPr>
        <w:pStyle w:val="BodyText"/>
      </w:pPr>
      <w:r>
        <w:t xml:space="preserve">Выступление: Председателя рабочей группы района Измайлово города Москвы, главы управы М.В.Довбня.</w:t>
      </w:r>
    </w:p>
    <w:p>
      <w:pPr>
        <w:pStyle w:val="BodyText"/>
      </w:pPr>
      <w:r>
        <w:rPr>
          <w:bCs/>
          <w:b/>
        </w:rPr>
        <w:t xml:space="preserve">II. О состоянии работы по реализации требований к антитеррористической защищенности объектов (территорий), мест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массового пребывания людей ВАО г. Москвы.________________________</w:t>
      </w:r>
    </w:p>
    <w:p>
      <w:pPr>
        <w:pStyle w:val="BodyText"/>
      </w:pPr>
      <w:r>
        <w:rPr>
          <w:u w:val="single"/>
        </w:rPr>
        <w:t xml:space="preserve">Доклад. Главного специалиста службы по вопросам ГО и ЧС Евсеевой Г.А</w:t>
      </w:r>
    </w:p>
    <w:p>
      <w:pPr>
        <w:pStyle w:val="BodyText"/>
      </w:pPr>
      <w:hyperlink r:id="rId20">
        <w:r>
          <w:br/>
        </w:r>
        <w:r>
          <w:rPr>
            <w:rStyle w:val="Hyperlink"/>
          </w:rPr>
          <w:t xml:space="preserve">Ссылка на</w:t>
        </w:r>
      </w:hyperlink>
      <w:r>
        <w:t xml:space="preserve"> </w:t>
      </w:r>
      <w:hyperlink r:id="rId20">
        <w:r>
          <w:rPr>
            <w:rStyle w:val="Hyperlink"/>
          </w:rPr>
          <w:t xml:space="preserve">Национальный</w:t>
        </w:r>
      </w:hyperlink>
      <w:r>
        <w:t xml:space="preserve"> </w:t>
      </w:r>
      <w:hyperlink r:id="rId20">
        <w:r>
          <w:rPr>
            <w:rStyle w:val="Hyperlink"/>
          </w:rPr>
          <w:t xml:space="preserve">Антитеррористический комитет (НАК) города Москвы</w:t>
        </w:r>
      </w:hyperlink>
      <w:r>
        <w:t xml:space="preserve"> </w:t>
      </w:r>
      <w:hyperlink r:id="rId20">
        <w:r>
          <w:rPr>
            <w:rStyle w:val="Hyperlink"/>
          </w:rPr>
          <w:t xml:space="preserve">http://nac.gov.ru/?adfox&amp;utm_place=889432&amp;utm_ban=3131662&amp;ues=1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http://izmaylowo.mos.ru/counter-terrorism/prevention-of-terrorism-and-extremism/detail/10130193.html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10130193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10130193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2025-03-21T03:28:57Z</dcterms:created>
  <dcterms:modified xsi:type="dcterms:W3CDTF">2025-03-21T03:28:57Z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