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информация?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Что делать, если в налоговом уведомлении некорректная информация?</w:t>
      </w:r>
      <w:r>
        <w:br/>
      </w:r>
      <w:r>
        <w:br/>
      </w: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  <w:r>
        <w:br/>
      </w: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  <w:r>
        <w:br/>
      </w: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  <w:r>
        <w:br/>
      </w: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  <w:r>
        <w:br/>
      </w:r>
      <w:r>
        <w:t xml:space="preserve">2) для иных лиц - лично либо по почте в любой налоговый орган или с использованием интернет-сервиса «Обратиться в ФНС России».</w:t>
      </w:r>
      <w:r>
        <w:br/>
      </w: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  <w:r>
        <w:br/>
      </w: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http://izmaylowo.mos.ru/inform/detail/12656668.html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656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2656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2025-06-29T00:41:38Z</dcterms:created>
  <dcterms:modified xsi:type="dcterms:W3CDTF">2025-06-29T00:41:38Z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