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9c720a9163dc1f47c73482fda995235f2dac1"/>
    <w:p>
      <w:pPr>
        <w:pStyle w:val="Heading3"/>
      </w:pPr>
      <w:r>
        <w:t xml:space="preserve">В границах промзон строят 25% новой недвижимости Москвы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drawing>
          <wp:inline>
            <wp:extent cx="5334000" cy="30145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25проц.%20недвижимости.%20Фото%20с%20сайта%20molnet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4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25% вводимых в Москве объектов недвижимости строится на территориях промышленных зон в рамках реорганизации. Так заявил глава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- В этом году мы планируем ввести на производственно-коммунальных территориях столицы 2,3 млн кв. м недвижимости. По состоянию на начало августа уже построены 34 объекта площадью 785 тыс. кв. м, - сообщил он.</w:t>
      </w:r>
    </w:p>
    <w:p>
      <w:pPr>
        <w:pStyle w:val="BodyText"/>
      </w:pPr>
      <w:r>
        <w:t xml:space="preserve">Левкин подчеркнул, что комплексному развитию промзон при построении комфортной столицы за прошедшие пять лет уделено пристальное внимание на уровне мэра Москвы Сергея Собянина. за это время на территории производственно-коммунальных территорий построено 367 объектов на 8 млн.кв.м.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http://izmaylowo.mos.ru/presscenter/news/detail/3569906.html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569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569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2024-10-02T15:01:10Z</dcterms:created>
  <dcterms:modified xsi:type="dcterms:W3CDTF">2024-10-02T15:01:10Z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