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3a870572cee9911b33bd6d0890b9e2c0f92502b"/>
    <w:p>
      <w:pPr>
        <w:pStyle w:val="Heading3"/>
      </w:pPr>
      <w:r>
        <w:t xml:space="preserve">Москва окажет содействие в выборе средств на капитальный ремонт жителям 310 домов</w:t>
      </w:r>
    </w:p>
    <w:p>
      <w:pPr>
        <w:pStyle w:val="FirstParagraph"/>
      </w:pPr>
      <w:r>
        <w:t xml:space="preserve">25.11.2016</w:t>
      </w:r>
    </w:p>
    <w:p>
      <w:pPr>
        <w:pStyle w:val="BodyText"/>
      </w:pPr>
      <w:r>
        <w:drawing>
          <wp:inline>
            <wp:extent cx="5334000" cy="3256642"/>
            <wp:effectExtent b="0" l="0" r="0" t="0"/>
            <wp:docPr descr="" title="" id="21" name="Picture"/>
            <a:graphic>
              <a:graphicData uri="http://schemas.openxmlformats.org/drawingml/2006/picture">
                <pic:pic>
                  <pic:nvPicPr>
                    <pic:cNvPr descr="/mnt/u01/sites/izmaylowo.mos.ru/www/presscenter/PHOTO/АГ%20капремонт.jpg" id="22" name="Picture"/>
                    <pic:cNvPicPr>
                      <a:picLocks noChangeArrowheads="1" noChangeAspect="1"/>
                    </pic:cNvPicPr>
                  </pic:nvPicPr>
                  <pic:blipFill>
                    <a:blip r:embed="rId20"/>
                    <a:stretch>
                      <a:fillRect/>
                    </a:stretch>
                  </pic:blipFill>
                  <pic:spPr bwMode="auto">
                    <a:xfrm>
                      <a:off x="0" y="0"/>
                      <a:ext cx="5334000" cy="3256642"/>
                    </a:xfrm>
                    <a:prstGeom prst="rect">
                      <a:avLst/>
                    </a:prstGeom>
                    <a:noFill/>
                    <a:ln w="9525">
                      <a:noFill/>
                      <a:headEnd/>
                      <a:tailEnd/>
                    </a:ln>
                  </pic:spPr>
                </pic:pic>
              </a:graphicData>
            </a:graphic>
          </wp:inline>
        </w:drawing>
      </w:r>
    </w:p>
    <w:p>
      <w:pPr>
        <w:pStyle w:val="BodyText"/>
      </w:pPr>
      <w:r>
        <w:t xml:space="preserve">Эти дома были определены в ходе проведения голосования «Спецсчет для вашего дома. Кому поможет город?». Такое голосование проводилось на портале онлайн-референдумов Правительства Москвы «Активный гражданин».</w:t>
      </w:r>
    </w:p>
    <w:p>
      <w:pPr>
        <w:pStyle w:val="BodyText"/>
      </w:pPr>
      <w:r>
        <w:t xml:space="preserve">Сообщается, что помощь будет оказываться собственникам домов, которые указали в голосовании выбор получения организационной поддержки города при переходе на накопление средств на капитальный ремонт дома на специальном счете в банке. Одним из вариантов ответов в голосовании являлась возможность получения консультативной поддержки властей столицы. По итогам голосования на</w:t>
      </w:r>
      <w:r>
        <w:t xml:space="preserve"> </w:t>
      </w:r>
      <w:hyperlink r:id="rId23">
        <w:r>
          <w:rPr>
            <w:rStyle w:val="Hyperlink"/>
          </w:rPr>
          <w:t xml:space="preserve">сайте Фонда капитального ремонта многоквартирных домов города Москвы опубликован список 310 домов</w:t>
        </w:r>
      </w:hyperlink>
      <w:r>
        <w:t xml:space="preserve">. Собственники этих домов принимали в голосовании наиболее активное участие и высказали пожелание получить организационную поддержку города.</w:t>
      </w:r>
    </w:p>
    <w:p>
      <w:pPr>
        <w:pStyle w:val="BodyText"/>
      </w:pPr>
      <w:r>
        <w:t xml:space="preserve">Голосование завершилось в августе текущего года. В нем принимали участие 147 553 активных жителей столицы. Из общего количества участников голосования чуть менее 40 тысяч участников, 39 190, предпочли выбрать помощь города при переходе на накопление средств на капитальный ремонт дома на специальном счете в банке.</w:t>
      </w:r>
    </w:p>
    <w:p>
      <w:pPr>
        <w:pStyle w:val="BodyText"/>
      </w:pPr>
      <w:r>
        <w:t xml:space="preserve">Сообщается, что далее собственников пригласят на обсуждение, посвященное вариантам накопления средств. Они смогут задать все интересующие уточняющие вопросы и подготовиться к собранию собственников жилья. Город готов оказать помощь собственникам в подготовке документов. В свою очередь собственникам будет важно создать инициативные группы, которые представят каждый дом. Они должны будут заявить о готовности самостоятельно планировать расходование средств на капремонт домов. Именно собственникам потребуется определять стоимость и сроки ремонта. Они будут отбирать подрядные организации и принимать работы, если они решили копить взносы на специальном счете своего дома,</w:t>
      </w:r>
    </w:p>
    <w:p>
      <w:pPr>
        <w:pStyle w:val="BodyText"/>
      </w:pPr>
      <w:r>
        <w:t xml:space="preserve">Стоит напомнить об упрощении порядка изменения способа накопления средств на проведение капитального ремонта, который был принят ранее. Он предполагает возможность перевода средств из регионального фонда, который можно сравнить с «общим котлом», на отдельный специальный счет для конкретного дома. Такое решение должно быть принято на собрании собственников. Решение фиксируется протоколом, направляемым в адрес Регионального фонда капитального ремонта.</w:t>
      </w:r>
    </w:p>
    <w:p>
      <w:pPr>
        <w:pStyle w:val="BodyText"/>
      </w:pPr>
      <w:bookmarkStart w:id="24" w:name="X1207a264b4c9f4df21fde20366a046b31aef217"/>
      <w:bookmarkEnd w:id="24"/>
      <w:r>
        <w:rPr>
          <w:bCs/>
          <w:b/>
        </w:rPr>
        <w:t xml:space="preserve">В районе Измайлово таких активных домов, жители которых пожелали перейти на спецсчета и принять помощь городских структур, насчитывается семь.</w:t>
      </w:r>
    </w:p>
    <w:p>
      <w:pPr>
        <w:pStyle w:val="BodyText"/>
      </w:pPr>
      <w:r>
        <w:rPr>
          <w:bCs/>
          <w:b/>
        </w:rPr>
        <w:t xml:space="preserve">Вот их адреса:</w:t>
      </w:r>
      <w:r>
        <w:t xml:space="preserve"> </w:t>
      </w:r>
      <w:r>
        <w:t xml:space="preserve">Измайловский бульв., 11/31; Первомайская Верхн. ул., 20; Измайловский пр., 7, к. 1; Измайловский пр., 7, к. 2; Первомайская ул., 5, к. 1; Первомайская ул. 14; Первомайская ул., 5.</w:t>
      </w:r>
    </w:p>
    <w:p>
      <w:pPr>
        <w:pStyle w:val="BodyText"/>
      </w:pPr>
      <w:r>
        <w:br/>
      </w:r>
    </w:p>
    <w:p>
      <w:pPr>
        <w:pStyle w:val="BodyText"/>
      </w:pPr>
      <w:r>
        <w:t xml:space="preserve">Адрес страницы:</w:t>
      </w:r>
      <w:r>
        <w:t xml:space="preserve"> </w:t>
      </w:r>
      <w:hyperlink r:id="rId25">
        <w:r>
          <w:rPr>
            <w:rStyle w:val="Hyperlink"/>
          </w:rPr>
          <w:t xml:space="preserve">http://izmaylowo.mos.ru/presscenter/news/detail/4283156.html</w:t>
        </w:r>
      </w:hyperlink>
    </w:p>
    <w:p>
      <w:pPr>
        <w:pStyle w:val="BodyText"/>
      </w:pPr>
      <w:hyperlink r:id="rId26">
        <w:r>
          <w:rPr>
            <w:rStyle w:val="Hyperlink"/>
          </w:rPr>
          <w:t xml:space="preserve">Управа района Измайлово города Москвы</w:t>
        </w:r>
      </w:hyperlink>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3" Target="http://fond.mos.ru/special-account-of-an-apartment-building/list-houses-following-the-results-of-voting-on-the-portal-active-citizen/" TargetMode="External" /><Relationship Type="http://schemas.openxmlformats.org/officeDocument/2006/relationships/hyperlink" Id="rId26" Target="http://izmaylowo.mos.ru" TargetMode="External" /><Relationship Type="http://schemas.openxmlformats.org/officeDocument/2006/relationships/hyperlink" Id="rId25" Target="http://izmaylowo.mos.ru/presscenter/news/detail/4283156.html" TargetMode="External" /></Relationships>
</file>

<file path=word/_rels/footnotes.xml.rels><?xml version="1.0" encoding="UTF-8"?><Relationships xmlns="http://schemas.openxmlformats.org/package/2006/relationships"><Relationship Type="http://schemas.openxmlformats.org/officeDocument/2006/relationships/hyperlink" Id="rId23" Target="http://fond.mos.ru/special-account-of-an-apartment-building/list-houses-following-the-results-of-voting-on-the-portal-active-citizen/" TargetMode="External" /><Relationship Type="http://schemas.openxmlformats.org/officeDocument/2006/relationships/hyperlink" Id="rId26" Target="http://izmaylowo.mos.ru" TargetMode="External" /><Relationship Type="http://schemas.openxmlformats.org/officeDocument/2006/relationships/hyperlink" Id="rId25" Target="http://izmaylowo.mos.ru/presscenter/news/detail/428315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2024-08-17T09:18:01Z</dcterms:created>
  <dcterms:modified xsi:type="dcterms:W3CDTF">2024-08-17T09:18:01Z</dcterms:modified>
</cp:coreProperties>
</file>

<file path=docProps/custom.xml><?xml version="1.0" encoding="utf-8"?>
<Properties xmlns="http://schemas.openxmlformats.org/officeDocument/2006/custom-properties" xmlns:vt="http://schemas.openxmlformats.org/officeDocument/2006/docPropsVTypes"/>
</file>