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6561606281f93643c44d3cc8936079dfd0b42"/>
    <w:p>
      <w:pPr>
        <w:pStyle w:val="Heading3"/>
      </w:pPr>
      <w:r>
        <w:t xml:space="preserve">Столичных предпринимателей обучат стратегическому бизнес-планированию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r>
        <w:t xml:space="preserve">Эксперты расскажут, как учитывать личные цели и ценности при создании стратегии развития компании, планировать рост доходов, сохранять гибкость и адаптивность к новым условиям ведения бизнеса.</w:t>
      </w:r>
    </w:p>
    <w:p>
      <w:pPr>
        <w:pStyle w:val="BodyText"/>
      </w:pPr>
      <w:r>
        <w:t xml:space="preserve">20 февраля государственное бюджетное учреждение (ГБУ)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проведет новый деловой интерактив для предпринимателей из серии «Актуальные решения». Участники мероприятия узнают, как составить стратегический план развития своего дела с учетом специфики конкретного бизнеса и особенностей его ведения в 2024 году.</w:t>
      </w:r>
    </w:p>
    <w:p>
      <w:pPr>
        <w:pStyle w:val="BodyText"/>
      </w:pPr>
      <w:r>
        <w:t xml:space="preserve">Интерактив пройдет с 15:00 до 18:00 в столичном ситуационном центре по адресу: Вознесенский переулок, дом 22. Для участия в мероприятии требуется</w:t>
      </w:r>
      <w:r>
        <w:t xml:space="preserve"> </w:t>
      </w:r>
      <w:hyperlink r:id="rId21">
        <w:r>
          <w:rPr>
            <w:rStyle w:val="Hyperlink"/>
          </w:rPr>
          <w:t xml:space="preserve">предварительная регистрация</w:t>
        </w:r>
      </w:hyperlink>
      <w:r>
        <w:t xml:space="preserve"> </w:t>
      </w:r>
      <w:r>
        <w:t xml:space="preserve">на портале mbm.mos.ru. Вход по паспорту. Количество мест ограниченно.</w:t>
      </w:r>
    </w:p>
    <w:p>
      <w:pPr>
        <w:pStyle w:val="BodyText"/>
      </w:pPr>
      <w:r>
        <w:t xml:space="preserve">Мероприятие пройдет в формате живой дискуссии, после выступления эксперты ответят на вопросы и поделятся опытом. В том числе они расскажут, как учитывать личные цели и ценности при создании стратегии развития компании, планировать рост доходов, сохранять гибкость и адаптивность к новым условиям ведения бизнеса.</w:t>
      </w:r>
    </w:p>
    <w:p>
      <w:pPr>
        <w:pStyle w:val="BodyText"/>
      </w:pPr>
      <w:r>
        <w:t xml:space="preserve">Среди спикеров мероприятия — эксперты по стратегическому развитию и формированию стратегий и команд, основатель компаний в производственной сфере, в области интеграции систем доступа и торговле, а также авторы делового журнала Павел Багрянцев и Полина Правда.</w:t>
      </w:r>
    </w:p>
    <w:p>
      <w:pPr>
        <w:pStyle w:val="BodyText"/>
      </w:pPr>
      <w:r>
        <w:t xml:space="preserve">По итогам интерактива участники создадут дорожную карту предпринимателя, где проработают бизнес-стратегии и поставят цели. Кроме того, они смогут расширить деловые связи, найти новых партнеров.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 — форумы, семинары, тренинги, конференции, которые помогают повысить профессиональные компетенции и найти единомышленников. Обучающие программы регулярно обновляются. В течение года среди начинающих и уже имеющих свое дело бизнесменов проводятся опросы, сбор мнений. Это позволяет актуализировать содержание курсов. Ежегодно МБМ проводит несколько сотен разноформатных обучающих и деловых мероприятий, а общее число получателей образовательной поддержки за прошлый год выросло на 31 процент.</w:t>
      </w:r>
    </w:p>
    <w:p>
      <w:pPr>
        <w:pStyle w:val="BodyText"/>
      </w:pPr>
      <w:r>
        <w:t xml:space="preserve">В этом году запланирована серия интерактивов «Актуальные решения», которые будут посвящены разным аспектам предпринимательства. Следующая офлайн-встреча состоится в апреле, а всего запланировано шесть очных мероприятий в течение года. Они будут анонсированы на сайте МБМ.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подробнее узнать об актуальных мерах поддержки предпринимателей в столице можно на сайте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Образовательная поддержка малого и среднего бизнеса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Подробнее об этом и других национальных проектах, реализуемых в Москве, можно узнать</w:t>
      </w:r>
      <w:r>
        <w:t xml:space="preserve"> </w:t>
      </w:r>
      <w:hyperlink r:id="rId22">
        <w:r>
          <w:rPr>
            <w:rStyle w:val="Hyperlink"/>
          </w:rPr>
          <w:t xml:space="preserve">на этой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http://izmaylowo.mos.ru/the-consumer-market-and-services/useful-information/detail/12174507.html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174507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delovoy-interaktiv-aktualnye-resheniya_8233400" TargetMode="External" /><Relationship Type="http://schemas.openxmlformats.org/officeDocument/2006/relationships/hyperlink" Id="rId22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174507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delovoy-interaktiv-aktualnye-resheniya_8233400" TargetMode="External" /><Relationship Type="http://schemas.openxmlformats.org/officeDocument/2006/relationships/hyperlink" Id="rId22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2025-05-01T00:05:14Z</dcterms:created>
  <dcterms:modified xsi:type="dcterms:W3CDTF">2025-05-01T00:05:14Z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