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высокопатогенный-грипп-птиц"/>
    <w:p>
      <w:pPr>
        <w:pStyle w:val="Heading3"/>
      </w:pPr>
      <w:r>
        <w:t xml:space="preserve">Высокопатогенный грипп птиц</w:t>
      </w:r>
    </w:p>
    <w:p>
      <w:pPr>
        <w:pStyle w:val="FirstParagraph"/>
      </w:pPr>
      <w:r>
        <w:t xml:space="preserve">29.07.2024</w:t>
      </w:r>
    </w:p>
    <w:p>
      <w:pPr>
        <w:pStyle w:val="BodyText"/>
      </w:pPr>
      <w:r>
        <w:br/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http://izmaylowo.mos.ru/the-state-veterinary-service/detail/12497371.html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the-state-veterinary-service/detail/124973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the-state-veterinary-service/detail/124973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2025-03-21T03:49:52Z</dcterms:created>
  <dcterms:modified xsi:type="dcterms:W3CDTF">2025-03-21T03:49:52Z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