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78e862139c138e46d649f7e3aa59dcefde30e9"/>
    <w:p>
      <w:pPr>
        <w:pStyle w:val="Heading3"/>
      </w:pPr>
      <w:r>
        <w:t xml:space="preserve">Прокурор ВАО г. Москвы информирует:Уточнены положения об административной ответственности в сфере госзакупок и гособоронзаказа</w:t>
      </w:r>
    </w:p>
    <w:p>
      <w:pPr>
        <w:pStyle w:val="FirstParagraph"/>
      </w:pPr>
      <w:r>
        <w:t xml:space="preserve">24.04.2025</w:t>
      </w:r>
    </w:p>
    <w:p>
      <w:pPr>
        <w:pStyle w:val="BodyText"/>
      </w:pPr>
      <w:r>
        <w:t xml:space="preserve">Так, некоторые статьи КоАП РФ об административной ответственности в сфере госзакупок и гособоронзаказа признаются утратившими силу.</w:t>
      </w:r>
    </w:p>
    <w:p>
      <w:pPr>
        <w:pStyle w:val="BodyText"/>
      </w:pPr>
      <w:r>
        <w:t xml:space="preserve">Взамен Кодекс дополняется новыми статьями, предусматривающими административную ответственность, в частности, за:</w:t>
      </w:r>
    </w:p>
    <w:p>
      <w:pPr>
        <w:pStyle w:val="BodyText"/>
      </w:pPr>
      <w:r>
        <w:t xml:space="preserve">нарушение порядка планирования закупок;</w:t>
      </w:r>
    </w:p>
    <w:p>
      <w:pPr>
        <w:pStyle w:val="BodyText"/>
      </w:pPr>
      <w:r>
        <w:t xml:space="preserve">нарушение порядка заключения, исполнения, изменения и расторжения контракта;</w:t>
      </w:r>
    </w:p>
    <w:p>
      <w:pPr>
        <w:pStyle w:val="BodyText"/>
      </w:pPr>
      <w:r>
        <w:t xml:space="preserve">нарушение порядка формирования, размещения и выполнения государственного оборонного заказа;</w:t>
      </w:r>
    </w:p>
    <w:p>
      <w:pPr>
        <w:pStyle w:val="BodyText"/>
      </w:pPr>
      <w:r>
        <w:t xml:space="preserve">нарушение процедуры обязательных торгов, продажи государственного или муниципального имущества и пр.</w:t>
      </w:r>
    </w:p>
    <w:p>
      <w:pPr>
        <w:pStyle w:val="BodyText"/>
      </w:pPr>
      <w:r>
        <w:t xml:space="preserve">Поправками закрепляется возможность назначения административного наказания в виде предупреждения за отдельные правонарушения при выполнении государственного или оборонного заказа. Например, предупреждение может быть назначено должностному лицу за нарушение порядка формирования, утверждения и изменения планов-графиков закупок, а также за нарушение порядка расторжения контракта в случае одностороннего отказа от его исполнения.</w:t>
      </w:r>
    </w:p>
    <w:p>
      <w:pPr>
        <w:pStyle w:val="BodyText"/>
      </w:pPr>
      <w:r>
        <w:t xml:space="preserve">Федеральный закон вступает в силу с 1 марта 2025 года, за исключением статьи, для которой предусмотрен иной срок ее вступления в силу.</w:t>
      </w:r>
    </w:p>
    <w:p>
      <w:pPr>
        <w:pStyle w:val="BodyText"/>
      </w:pPr>
      <w:r>
        <w:t xml:space="preserve">Федеральный закон от 28.12.2024 N 500-ФЗ</w:t>
      </w:r>
    </w:p>
    <w:p>
      <w:pPr>
        <w:pStyle w:val="BodyText"/>
      </w:pPr>
      <w:r>
        <w:t xml:space="preserve">"О внесении изменений в Кодекс Российской Федерации об административных правонарушениях и статью 1 Федерального закона "О внесении изменений в Кодекс Российской Федерации об административных правонарушениях"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http://izmaylowo.mos.ru/your-safety/detail/12934811.html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348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348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2025-07-31T04:23:05Z</dcterms:created>
  <dcterms:modified xsi:type="dcterms:W3CDTF">2025-07-31T04:23:05Z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