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d732216703325863e5d5a5209c0be45336c40"/>
    <w:p>
      <w:pPr>
        <w:pStyle w:val="Heading3"/>
      </w:pPr>
      <w:r>
        <w:t xml:space="preserve">Прокурор ВАО г. Москвы разъясняет: С 1 сентября 2025 года учреждается стипендия Правительства для студентов, курсантов и слушателей, обучающихся по образовательным программам высшего образования</w:t>
      </w:r>
    </w:p>
    <w:p>
      <w:pPr>
        <w:pStyle w:val="FirstParagraph"/>
      </w:pPr>
      <w:r>
        <w:t xml:space="preserve">29.04.2025</w:t>
      </w:r>
    </w:p>
    <w:p>
      <w:pPr>
        <w:pStyle w:val="BodyText"/>
      </w:pPr>
      <w:r>
        <w:t xml:space="preserve">Установлено, что стипендия Правительства назначается гражданам Российской Федерации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http://izmaylowo.mos.ru/your-safety/detail/12941519.html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415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415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2025-04-29T12:13:04Z</dcterms:created>
  <dcterms:modified xsi:type="dcterms:W3CDTF">2025-04-29T12:13:04Z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