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ca0f5f6f9129c6da6a20f586fda3439c8e426"/>
    <w:p>
      <w:pPr>
        <w:pStyle w:val="Heading3"/>
      </w:pPr>
      <w:r>
        <w:t xml:space="preserve">За анализируемый период наиболее актуальным примером положительной работы прокурора стало предъявление в суд искового заявления в порядке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ч. 3 ст. 45 ГПК РФ в интересах М. к М. о выселении и снятии с регистрационного учета.</w:t>
      </w:r>
    </w:p>
    <w:p>
      <w:pPr>
        <w:pStyle w:val="BodyText"/>
      </w:pPr>
      <w:r>
        <w:t xml:space="preserve">Так, ранее решением Измайловского районного суда г. Москвы по иску Измайловского межрайонного прокурора г. Москвы, действующего в интересах М. о признании договоров недействительным, применении последствий недействительности договоров договор купли-продажи квартиры, признан недействительным, вышеуказанная квартира истребована из незаконного владения М. право собственности последнего на нее прекращено.</w:t>
      </w:r>
    </w:p>
    <w:p>
      <w:pPr>
        <w:pStyle w:val="BodyText"/>
      </w:pPr>
      <w:r>
        <w:t xml:space="preserve">Ответчики в добровольном порядке отказываются съезжать из спорного жилого помещения.</w:t>
      </w:r>
    </w:p>
    <w:p>
      <w:pPr>
        <w:pStyle w:val="BodyText"/>
      </w:pPr>
      <w:r>
        <w:t xml:space="preserve">По результатам рассмотрения Измайловский районным судом г. Москвы вышеуказанного искового заявления требования межрайонной прокуратуры в интересах М. удовлетворены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http://izmaylowo.mos.ru/your-safety/detail/13075535.html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55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55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2025-07-26T20:58:44Z</dcterms:created>
  <dcterms:modified xsi:type="dcterms:W3CDTF">2025-07-26T20:58:44Z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