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103650ee012f91e6ac24558f09e6bc1d90346d"/>
    <w:p>
      <w:pPr>
        <w:pStyle w:val="Heading3"/>
      </w:pPr>
      <w:r>
        <w:t xml:space="preserve">Измайловской межрайонной прокуратурой г. Москвы утверждено обвинительное заключение по признакам преступлений, предусмотренных ч. 2 ст. 159, ч. 2 ст. 159 УК РФ (то есть мошенничество с причинением значительного ущерба гражданину).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Новости прокуратуры</w:t>
      </w:r>
    </w:p>
    <w:p>
      <w:pPr>
        <w:pStyle w:val="BodyText"/>
      </w:pPr>
      <w:r>
        <w:t xml:space="preserve">Измайловской межрайонной прокуратурой г. Москвы утверждено обвинительное заключение по признакам преступлений, предусмотренных ч. 2 ст. 159, ч. 2 ст. 159 УК РФ (то есть мошенничество с причинением значительного ущерба гражданину).</w:t>
      </w:r>
    </w:p>
    <w:p>
      <w:pPr>
        <w:pStyle w:val="BodyText"/>
      </w:pPr>
      <w:r>
        <w:t xml:space="preserve">Обвиняемый с целью хищения ювелирных изделий путем обмана, разработав план совершения преступлений, заключающийся в сознательном сообщении заведомо ложных сведений, под предлогом осуществления ремонта ювелирных изделий присваивал имущество клиентов себе.</w:t>
      </w:r>
    </w:p>
    <w:p>
      <w:pPr>
        <w:pStyle w:val="BodyText"/>
      </w:pPr>
      <w:r>
        <w:t xml:space="preserve">Уголовное дело 31.01.2025 направлено Измайловский районный суд</w:t>
      </w:r>
    </w:p>
    <w:p>
      <w:pPr>
        <w:pStyle w:val="BodyText"/>
      </w:pPr>
      <w:r>
        <w:t xml:space="preserve">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http://izmaylowo.mos.ru/your-safety/detail/13076129.html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1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1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2025-07-06T11:15:50Z</dcterms:created>
  <dcterms:modified xsi:type="dcterms:W3CDTF">2025-07-06T11:15:50Z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